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- OSFI Guideline E-21 readiness</w:t>
      </w:r>
    </w:p>
    <w:p>
      <w:pPr>
        <w:spacing w:after="80"/>
      </w:pPr>
      <w:r>
        <w:rPr>
          <w:b/>
          <w:color w:val="111827"/>
          <w:sz w:val="36"/>
        </w:rPr>
        <w:t xml:space="preserve">OSFI Guideline E-21 readiness one-pager</w:t>
      </w:r>
    </w:p>
    <w:p>
      <w:pPr>
        <w:spacing w:after="80"/>
      </w:pPr>
      <w:r>
        <w:rPr>
          <w:color w:val="4B5563"/>
          <w:sz w:val="24"/>
        </w:rPr>
        <w:t xml:space="preserve">OSFI Guideline E-21 - Operational Risk Management and Resilience</w:t>
      </w:r>
    </w:p>
    <w:p>
      <w:pPr>
        <w:spacing w:after="260"/>
      </w:pPr>
      <w:r>
        <w:rPr>
          <w:color w:val="4B5563"/>
          <w:sz w:val="20"/>
        </w:rPr>
        <w:t xml:space="preserve">Jurisdiction: Canada - federally regulated financial institutions (FRFIs)</w:t>
      </w:r>
    </w:p>
    <w:p>
      <w:pPr>
        <w:spacing w:after="140"/>
      </w:pPr>
      <w:r>
        <w:rPr>
          <w:b/>
          <w:color w:val="111827"/>
          <w:sz w:val="28"/>
        </w:rPr>
        <w:t xml:space="preserve">Programme details</w:t>
      </w:r>
    </w:p>
    <w:p>
      <w:pPr>
        <w:spacing w:after="120"/>
      </w:pPr>
      <w:r>
        <w:rPr>
          <w:color w:val="111827"/>
          <w:sz w:val="22"/>
        </w:rPr>
        <w:t xml:space="preserve">Organisation name: [Organisation name]</w:t>
      </w:r>
    </w:p>
    <w:p>
      <w:pPr>
        <w:spacing w:after="120"/>
      </w:pPr>
      <w:r>
        <w:rPr>
          <w:color w:val="111827"/>
          <w:sz w:val="22"/>
        </w:rPr>
        <w:t xml:space="preserve">Programme owner: [Programme owner]</w:t>
      </w:r>
    </w:p>
    <w:p>
      <w:pPr>
        <w:spacing w:after="220"/>
      </w:pPr>
      <w:r>
        <w:rPr>
          <w:color w:val="111827"/>
          <w:sz w:val="22"/>
        </w:rPr>
        <w:t xml:space="preserve">Target date: [Target date]</w:t>
      </w:r>
    </w:p>
    <w:p>
      <w:pPr>
        <w:spacing w:after="140"/>
      </w:pPr>
      <w:r>
        <w:rPr>
          <w:b/>
          <w:color w:val="111827"/>
          <w:sz w:val="28"/>
        </w:rPr>
        <w:t xml:space="preserve">Overview</w:t>
      </w:r>
    </w:p>
    <w:p>
      <w:pPr>
        <w:spacing w:after="220"/>
      </w:pPr>
      <w:r>
        <w:rPr>
          <w:color w:val="111827"/>
          <w:sz w:val="22"/>
        </w:rPr>
        <w:t xml:space="preserve">An OSFI Guideline E-21 operational resilience programme rendered as a BPMN 2.0 process map. The flow identifies critical operations, sets impact tolerances, maps third-party and ICT dependencies, runs severe-but-plausible scenario testing, and reports to the board and OSFI - the obligations a Canadian FRFI must operate from 1 September 2026.</w:t>
      </w:r>
    </w:p>
    <w:p>
      <w:pPr>
        <w:spacing w:after="140"/>
      </w:pPr>
      <w:r>
        <w:rPr>
          <w:b/>
          <w:color w:val="111827"/>
          <w:sz w:val="28"/>
        </w:rPr>
        <w:t xml:space="preserve">Programme steps</w:t>
      </w:r>
    </w:p>
    <w:p>
      <w:pPr>
        <w:spacing w:after="40"/>
      </w:pPr>
      <w:r>
        <w:rPr>
          <w:b/>
          <w:color w:val="6B7280"/>
          <w:sz w:val="18"/>
        </w:rPr>
        <w:t xml:space="preserve">Step 1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Programme owner kicks off the OSFI E-21 mapping and identifies the FRFI's critical operations.</w:t>
      </w:r>
    </w:p>
    <w:p>
      <w:pPr>
        <w:spacing w:after="40"/>
      </w:pPr>
      <w:r>
        <w:rPr>
          <w:b/>
          <w:color w:val="6B7280"/>
          <w:sz w:val="18"/>
        </w:rPr>
        <w:t xml:space="preserve">Step 2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For each critical operation, set the tolerance for disruption - the maximum tolerable downtime, loss, or customer impact.</w:t>
      </w:r>
    </w:p>
    <w:p>
      <w:pPr>
        <w:spacing w:after="40"/>
      </w:pPr>
      <w:r>
        <w:rPr>
          <w:b/>
          <w:color w:val="6B7280"/>
          <w:sz w:val="18"/>
        </w:rPr>
        <w:t xml:space="preserve">Step 3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Map the third-party arrangements and ICT dependencies that support each critical operation.</w:t>
      </w:r>
    </w:p>
    <w:p>
      <w:pPr>
        <w:spacing w:after="40"/>
      </w:pPr>
      <w:r>
        <w:rPr>
          <w:b/>
          <w:color w:val="6B7280"/>
          <w:sz w:val="18"/>
        </w:rPr>
        <w:t xml:space="preserve">Step 4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Run severe-but-plausible scenario testing against the operations and tolerances.</w:t>
      </w:r>
    </w:p>
    <w:p>
      <w:pPr>
        <w:spacing w:after="40"/>
      </w:pPr>
      <w:r>
        <w:rPr>
          <w:b/>
          <w:color w:val="6B7280"/>
          <w:sz w:val="18"/>
        </w:rPr>
        <w:t xml:space="preserve">Step 5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If scenario testing shows the tolerance would be breached, drive remediation and re-test before moving on.</w:t>
      </w:r>
    </w:p>
    <w:p>
      <w:pPr>
        <w:spacing w:after="40"/>
      </w:pPr>
      <w:r>
        <w:rPr>
          <w:b/>
          <w:color w:val="6B7280"/>
          <w:sz w:val="18"/>
        </w:rPr>
        <w:t xml:space="preserve">Step 6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Once tolerances hold, report findings, residual risk, and remediation plans to the board and to OSFI on the required cadence.</w:t>
      </w:r>
    </w:p>
    <w:p>
      <w:pPr>
        <w:spacing w:after="80"/>
      </w:pPr>
      <w:r>
        <w:rPr>
          <w:color w:val="6B7280"/>
          <w:sz w:val="18"/>
        </w:rPr>
        <w:t xml:space="preserve">Source: https://ba-copilot.com/osfi-e21-mapping</w:t>
      </w:r>
    </w:p>
    <w:sectPr>
      <w:pgSz w:w="11906" w:h="16838"/>
      <w:pgMar w:top="1440" w:right="1440" w:bottom="1440" w:left="1440" w:header="708" w:footer="708" w:gutter="0"/>
    </w:sectPr>
  </w:body>
</w:document>
</file>