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pacing w:after="80"/>
      </w:pPr>
      <w:r>
        <w:rPr>
          <w:b/>
          <w:color w:val="4F46E5"/>
          <w:sz w:val="18"/>
        </w:rPr>
        <w:t xml:space="preserve">BA Copilot Compliance Checklist</w:t>
      </w:r>
    </w:p>
    <w:p>
      <w:pPr>
        <w:spacing w:after="80"/>
      </w:pPr>
      <w:r>
        <w:rPr>
          <w:b/>
          <w:color w:val="111827"/>
          <w:sz w:val="36"/>
        </w:rPr>
        <w:t xml:space="preserve">SOC 2 compliance checklist</w:t>
      </w:r>
    </w:p>
    <w:p>
      <w:pPr>
        <w:spacing w:after="80"/>
      </w:pPr>
      <w:r>
        <w:rPr>
          <w:color w:val="4B5563"/>
          <w:sz w:val="24"/>
        </w:rPr>
        <w:t xml:space="preserve">Service Organization Control 2 (AICPA attestation standards - AT-C 105 and AT-C 205, as amended through SSAE No. 23 effective for engagements beginning on or after 15 December 2025)</w:t>
      </w:r>
    </w:p>
    <w:p>
      <w:pPr>
        <w:spacing w:after="260"/>
      </w:pPr>
      <w:r>
        <w:rPr>
          <w:color w:val="4B5563"/>
          <w:sz w:val="20"/>
        </w:rPr>
        <w:t xml:space="preserve">Jurisdiction: US service organisations (global by reciprocal trust)</w:t>
      </w:r>
    </w:p>
    <w:p>
      <w:pPr>
        <w:spacing w:after="140"/>
      </w:pPr>
      <w:r>
        <w:rPr>
          <w:b/>
          <w:color w:val="111827"/>
          <w:sz w:val="28"/>
        </w:rPr>
        <w:t xml:space="preserve">Programme details</w:t>
      </w:r>
    </w:p>
    <w:p>
      <w:pPr>
        <w:spacing w:after="120"/>
      </w:pPr>
      <w:r>
        <w:rPr>
          <w:color w:val="111827"/>
          <w:sz w:val="22"/>
        </w:rPr>
        <w:t xml:space="preserve">Organisation name: [Organisation name]</w:t>
      </w:r>
    </w:p>
    <w:p>
      <w:pPr>
        <w:spacing w:after="120"/>
      </w:pPr>
      <w:r>
        <w:rPr>
          <w:color w:val="111827"/>
          <w:sz w:val="22"/>
        </w:rPr>
        <w:t xml:space="preserve">Assigned to: [Assigned to]</w:t>
      </w:r>
    </w:p>
    <w:p>
      <w:pPr>
        <w:spacing w:after="120"/>
      </w:pPr>
      <w:r>
        <w:rPr>
          <w:color w:val="111827"/>
          <w:sz w:val="22"/>
        </w:rPr>
        <w:t xml:space="preserve">Target completion date: [Target completion date]</w:t>
      </w:r>
    </w:p>
    <w:p>
      <w:pPr>
        <w:spacing w:after="120"/>
      </w:pPr>
      <w:r>
        <w:rPr>
          <w:color w:val="111827"/>
          <w:sz w:val="22"/>
        </w:rPr>
        <w:t xml:space="preserve">Reviewed by: [Reviewed by]</w:t>
      </w:r>
    </w:p>
    <w:p>
      <w:pPr>
        <w:spacing w:after="220"/>
      </w:pPr>
      <w:r>
        <w:rPr>
          <w:color w:val="111827"/>
          <w:sz w:val="22"/>
        </w:rPr>
        <w:t xml:space="preserve">Review date: [Date]</w:t>
      </w:r>
    </w:p>
    <w:p>
      <w:pPr>
        <w:spacing w:after="140"/>
      </w:pPr>
      <w:r>
        <w:rPr>
          <w:b/>
          <w:color w:val="111827"/>
          <w:sz w:val="28"/>
        </w:rPr>
        <w:t xml:space="preserve">Who SOC 2 applies to</w:t>
      </w:r>
    </w:p>
    <w:p>
      <w:pPr>
        <w:spacing w:after="220"/>
      </w:pPr>
      <w:r>
        <w:rPr>
          <w:color w:val="111827"/>
          <w:sz w:val="22"/>
        </w:rPr>
        <w:t xml:space="preserve">Technology service organisations that hold or process customer data and want to demonstrate trust through an independent AICPA-aligned report. Not a regulatory requirement - a market-driven standard.</w:t>
      </w:r>
    </w:p>
    <w:p>
      <w:pPr>
        <w:spacing w:after="140"/>
      </w:pPr>
      <w:r>
        <w:rPr>
          <w:b/>
          <w:color w:val="111827"/>
          <w:sz w:val="28"/>
        </w:rPr>
        <w:t xml:space="preserve">SOC 2 checklist</w:t>
      </w:r>
    </w:p>
    <w:p>
      <w:pPr>
        <w:spacing w:after="40"/>
      </w:pPr>
      <w:r>
        <w:rPr>
          <w:b/>
          <w:color w:val="6B7280"/>
          <w:sz w:val="18"/>
        </w:rPr>
        <w:t xml:space="preserve">Step 1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Select the Trust Service Criteria - Security (mandatory) plus optional Availability, Confidentiality, Processing Integrity, or Privacy.</w:t>
      </w:r>
    </w:p>
    <w:p>
      <w:pPr>
        <w:spacing w:after="40"/>
      </w:pPr>
      <w:r>
        <w:rPr>
          <w:b/>
          <w:color w:val="6B7280"/>
          <w:sz w:val="18"/>
        </w:rPr>
        <w:t xml:space="preserve">Step 2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Decide between SOC 2 Type I (design at a point in time) or Type II (operating effectiveness over 6–12 months).</w:t>
      </w:r>
    </w:p>
    <w:p>
      <w:pPr>
        <w:spacing w:after="40"/>
      </w:pPr>
      <w:r>
        <w:rPr>
          <w:b/>
          <w:color w:val="6B7280"/>
          <w:sz w:val="18"/>
        </w:rPr>
        <w:t xml:space="preserve">Step 3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Inventory in-scope systems and document the system description per AICPA guidance.</w:t>
      </w:r>
    </w:p>
    <w:p>
      <w:pPr>
        <w:spacing w:after="40"/>
      </w:pPr>
      <w:r>
        <w:rPr>
          <w:b/>
          <w:color w:val="6B7280"/>
          <w:sz w:val="18"/>
        </w:rPr>
        <w:t xml:space="preserve">Step 4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Map controls to the chosen TSC criteria and identify owners for each.</w:t>
      </w:r>
    </w:p>
    <w:p>
      <w:pPr>
        <w:spacing w:after="40"/>
      </w:pPr>
      <w:r>
        <w:rPr>
          <w:b/>
          <w:color w:val="6B7280"/>
          <w:sz w:val="18"/>
        </w:rPr>
        <w:t xml:space="preserve">Step 5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Engage an AICPA-licensed CPA firm and complete a readiness assessment.</w:t>
      </w:r>
    </w:p>
    <w:p>
      <w:pPr>
        <w:spacing w:after="40"/>
      </w:pPr>
      <w:r>
        <w:rPr>
          <w:b/>
          <w:color w:val="6B7280"/>
          <w:sz w:val="18"/>
        </w:rPr>
        <w:t xml:space="preserve">Step 6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Remediate gaps from readiness and operate controls for the audit window (Type II).</w:t>
      </w:r>
    </w:p>
    <w:p>
      <w:pPr>
        <w:spacing w:after="40"/>
      </w:pPr>
      <w:r>
        <w:rPr>
          <w:b/>
          <w:color w:val="6B7280"/>
          <w:sz w:val="18"/>
        </w:rPr>
        <w:t xml:space="preserve">Step 7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Gather evidence throughout the audit window - screenshots, tickets, system reports.</w:t>
      </w:r>
    </w:p>
    <w:p>
      <w:pPr>
        <w:spacing w:after="40"/>
      </w:pPr>
      <w:r>
        <w:rPr>
          <w:b/>
          <w:color w:val="6B7280"/>
          <w:sz w:val="18"/>
        </w:rPr>
        <w:t xml:space="preserve">Step 8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Auditor performs fieldwork: inquiry, inspection, observation, re-performance.</w:t>
      </w:r>
    </w:p>
    <w:p>
      <w:pPr>
        <w:spacing w:after="40"/>
      </w:pPr>
      <w:r>
        <w:rPr>
          <w:b/>
          <w:color w:val="6B7280"/>
          <w:sz w:val="18"/>
        </w:rPr>
        <w:t xml:space="preserve">Step 9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Receive the SOC 2 report - opinion, system description, criteria, controls, tests, results.</w:t>
      </w:r>
    </w:p>
    <w:p>
      <w:pPr>
        <w:spacing w:after="40"/>
      </w:pPr>
      <w:r>
        <w:rPr>
          <w:b/>
          <w:color w:val="6B7280"/>
          <w:sz w:val="18"/>
        </w:rPr>
        <w:t xml:space="preserve">Step 10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Distribute the report under NDA to customers and prospects under your established sharing policy.</w:t>
      </w:r>
    </w:p>
    <w:p>
      <w:pPr>
        <w:spacing w:after="140"/>
      </w:pPr>
      <w:r>
        <w:rPr>
          <w:b/>
          <w:color w:val="111827"/>
          <w:sz w:val="28"/>
        </w:rPr>
        <w:t xml:space="preserve">FAQ</w:t>
      </w:r>
    </w:p>
    <w:p>
      <w:pPr>
        <w:spacing w:after="80"/>
      </w:pPr>
      <w:r>
        <w:rPr>
          <w:b/>
          <w:color w:val="111827"/>
          <w:sz w:val="23"/>
        </w:rPr>
        <w:t xml:space="preserve">Type I or Type II?</w:t>
      </w:r>
    </w:p>
    <w:p>
      <w:pPr>
        <w:spacing w:after="180"/>
      </w:pPr>
      <w:r>
        <w:rPr>
          <w:color w:val="4B5563"/>
          <w:sz w:val="22"/>
        </w:rPr>
        <w:t xml:space="preserve">Type I attests to control design at a point in time. Type II attests to operating effectiveness over a period (typically 6–12 months). Customers and procurement teams overwhelmingly expect Type II; Type I is most useful as an interim milestone for first-time auditees.</w:t>
      </w:r>
    </w:p>
    <w:p>
      <w:pPr>
        <w:spacing w:after="80"/>
      </w:pPr>
      <w:r>
        <w:rPr>
          <w:b/>
          <w:color w:val="111827"/>
          <w:sz w:val="23"/>
        </w:rPr>
        <w:t xml:space="preserve">What are the Trust Service Criteria?</w:t>
      </w:r>
    </w:p>
    <w:p>
      <w:pPr>
        <w:spacing w:after="180"/>
      </w:pPr>
      <w:r>
        <w:rPr>
          <w:color w:val="4B5563"/>
          <w:sz w:val="22"/>
        </w:rPr>
        <w:t xml:space="preserve">The five TSC are Security (Common Criteria - mandatory), Availability, Confidentiality, Processing Integrity, and Privacy. Most SOC 2 reports cover Security + one or two others depending on the service. Adding more criteria expands scope and audit cost.</w:t>
      </w:r>
    </w:p>
    <w:p>
      <w:pPr>
        <w:spacing w:after="80"/>
      </w:pPr>
      <w:r>
        <w:rPr>
          <w:b/>
          <w:color w:val="111827"/>
          <w:sz w:val="23"/>
        </w:rPr>
        <w:t xml:space="preserve">How long does SOC 2 readiness take?</w:t>
      </w:r>
    </w:p>
    <w:p>
      <w:pPr>
        <w:spacing w:after="180"/>
      </w:pPr>
      <w:r>
        <w:rPr>
          <w:color w:val="4B5563"/>
          <w:sz w:val="22"/>
        </w:rPr>
        <w:t xml:space="preserve">For most companies, 3–6 months from readiness assessment to a Type II audit window opening, then 6–12 months of operating before the auditor reports. Compressing the operating window is the single biggest constraint on calendar time.</w:t>
      </w:r>
    </w:p>
    <w:p>
      <w:pPr>
        <w:spacing w:after="80"/>
      </w:pPr>
      <w:r>
        <w:rPr>
          <w:b/>
          <w:color w:val="111827"/>
          <w:sz w:val="23"/>
        </w:rPr>
        <w:t xml:space="preserve">Is SOC 2 the same as ISO 27001?</w:t>
      </w:r>
    </w:p>
    <w:p>
      <w:pPr>
        <w:spacing w:after="180"/>
      </w:pPr>
      <w:r>
        <w:rPr>
          <w:color w:val="4B5563"/>
          <w:sz w:val="22"/>
        </w:rPr>
        <w:t xml:space="preserve">Both demonstrate information-security maturity, but they're different artefacts. ISO 27001 is a certification (yes/no, with a 3-year cycle); SOC 2 is an examination performed under the AICPA's attestation standards (AT-C 105/205) producing an opinion plus detailed evidence. Many service organisations carry both - ISO 27001 for European procurement, SOC 2 for North American.</w:t>
      </w:r>
    </w:p>
    <w:p>
      <w:pPr>
        <w:spacing w:after="80"/>
      </w:pPr>
      <w:r>
        <w:rPr>
          <w:color w:val="6B7280"/>
          <w:sz w:val="18"/>
        </w:rPr>
        <w:t xml:space="preserve">Source: https://ba-copilot.com/compliance/soc-2-compliance-checklist</w:t>
      </w:r>
    </w:p>
    <w:sectPr>
      <w:pgSz w:w="11906" w:h="16838"/>
      <w:pgMar w:top="1440" w:right="1440" w:bottom="1440" w:left="1440" w:header="708" w:footer="708" w:gutter="0"/>
    </w:sectPr>
  </w:body>
</w:document>
</file>