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pacing w:after="80"/>
      </w:pPr>
      <w:r>
        <w:rPr>
          <w:b/>
          <w:color w:val="4F46E5"/>
          <w:sz w:val="18"/>
        </w:rPr>
        <w:t xml:space="preserve">BA Copilot Compliance Checklist</w:t>
      </w:r>
    </w:p>
    <w:p>
      <w:pPr>
        <w:spacing w:after="80"/>
      </w:pPr>
      <w:r>
        <w:rPr>
          <w:b/>
          <w:color w:val="111827"/>
          <w:sz w:val="36"/>
        </w:rPr>
        <w:t xml:space="preserve">PCI DSS 4.0.1 compliance checklist</w:t>
      </w:r>
    </w:p>
    <w:p>
      <w:pPr>
        <w:spacing w:after="80"/>
      </w:pPr>
      <w:r>
        <w:rPr>
          <w:color w:val="4B5563"/>
          <w:sz w:val="24"/>
        </w:rPr>
        <w:t xml:space="preserve">Payment Card Industry Data Security Standard 4.0.1</w:t>
      </w:r>
    </w:p>
    <w:p>
      <w:pPr>
        <w:spacing w:after="260"/>
      </w:pPr>
      <w:r>
        <w:rPr>
          <w:color w:val="4B5563"/>
          <w:sz w:val="20"/>
        </w:rPr>
        <w:t xml:space="preserve">Jurisdiction: Global - any entity handling payment card data</w:t>
      </w:r>
    </w:p>
    <w:p>
      <w:pPr>
        <w:spacing w:after="140"/>
      </w:pPr>
      <w:r>
        <w:rPr>
          <w:b/>
          <w:color w:val="111827"/>
          <w:sz w:val="28"/>
        </w:rPr>
        <w:t xml:space="preserve">Programme details</w:t>
      </w:r>
    </w:p>
    <w:p>
      <w:pPr>
        <w:spacing w:after="120"/>
      </w:pPr>
      <w:r>
        <w:rPr>
          <w:color w:val="111827"/>
          <w:sz w:val="22"/>
        </w:rPr>
        <w:t xml:space="preserve">Organisation name: [Organisation name]</w:t>
      </w:r>
    </w:p>
    <w:p>
      <w:pPr>
        <w:spacing w:after="120"/>
      </w:pPr>
      <w:r>
        <w:rPr>
          <w:color w:val="111827"/>
          <w:sz w:val="22"/>
        </w:rPr>
        <w:t xml:space="preserve">Assigned to: [Assigned to]</w:t>
      </w:r>
    </w:p>
    <w:p>
      <w:pPr>
        <w:spacing w:after="120"/>
      </w:pPr>
      <w:r>
        <w:rPr>
          <w:color w:val="111827"/>
          <w:sz w:val="22"/>
        </w:rPr>
        <w:t xml:space="preserve">Target completion date: [Target completion date]</w:t>
      </w:r>
    </w:p>
    <w:p>
      <w:pPr>
        <w:spacing w:after="120"/>
      </w:pPr>
      <w:r>
        <w:rPr>
          <w:color w:val="111827"/>
          <w:sz w:val="22"/>
        </w:rPr>
        <w:t xml:space="preserve">Reviewed by: [Reviewed by]</w:t>
      </w:r>
    </w:p>
    <w:p>
      <w:pPr>
        <w:spacing w:after="220"/>
      </w:pPr>
      <w:r>
        <w:rPr>
          <w:color w:val="111827"/>
          <w:sz w:val="22"/>
        </w:rPr>
        <w:t xml:space="preserve">Review date: [Date]</w:t>
      </w:r>
    </w:p>
    <w:p>
      <w:pPr>
        <w:spacing w:after="140"/>
      </w:pPr>
      <w:r>
        <w:rPr>
          <w:b/>
          <w:color w:val="111827"/>
          <w:sz w:val="28"/>
        </w:rPr>
        <w:t xml:space="preserve">Who PCI DSS 4.0.1 applies to</w:t>
      </w:r>
    </w:p>
    <w:p>
      <w:pPr>
        <w:spacing w:after="220"/>
      </w:pPr>
      <w:r>
        <w:rPr>
          <w:color w:val="111827"/>
          <w:sz w:val="22"/>
        </w:rPr>
        <w:t xml:space="preserve">Merchants, payment service providers, and any entity that stores, processes, or transmits cardholder data - globally, contractually enforced by the card brands.</w:t>
      </w:r>
    </w:p>
    <w:p>
      <w:pPr>
        <w:spacing w:after="140"/>
      </w:pPr>
      <w:r>
        <w:rPr>
          <w:b/>
          <w:color w:val="111827"/>
          <w:sz w:val="28"/>
        </w:rPr>
        <w:t xml:space="preserve">PCI DSS 4.0.1 checklist</w:t>
      </w:r>
    </w:p>
    <w:p>
      <w:pPr>
        <w:spacing w:after="40"/>
      </w:pPr>
      <w:r>
        <w:rPr>
          <w:b/>
          <w:color w:val="6B7280"/>
          <w:sz w:val="18"/>
        </w:rPr>
        <w:t xml:space="preserve">Step 1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Identify and isolate the cardholder data environment (CDE) to minimise scope.</w:t>
      </w:r>
    </w:p>
    <w:p>
      <w:pPr>
        <w:spacing w:after="40"/>
      </w:pPr>
      <w:r>
        <w:rPr>
          <w:b/>
          <w:color w:val="6B7280"/>
          <w:sz w:val="18"/>
        </w:rPr>
        <w:t xml:space="preserve">Step 2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Determine your merchant level (1–4) based on annual card-transaction volume.</w:t>
      </w:r>
    </w:p>
    <w:p>
      <w:pPr>
        <w:spacing w:after="40"/>
      </w:pPr>
      <w:r>
        <w:rPr>
          <w:b/>
          <w:color w:val="6B7280"/>
          <w:sz w:val="18"/>
        </w:rPr>
        <w:t xml:space="preserve">Step 3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Identify the applicable Self-Assessment Questionnaire (SAQ) type (A, A-EP, B, C, D, P2PE).</w:t>
      </w:r>
    </w:p>
    <w:p>
      <w:pPr>
        <w:spacing w:after="40"/>
      </w:pPr>
      <w:r>
        <w:rPr>
          <w:b/>
          <w:color w:val="6B7280"/>
          <w:sz w:val="18"/>
        </w:rPr>
        <w:t xml:space="preserve">Step 4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Implement and document the 12 PCI DSS requirements within scope.</w:t>
      </w:r>
    </w:p>
    <w:p>
      <w:pPr>
        <w:spacing w:after="40"/>
      </w:pPr>
      <w:r>
        <w:rPr>
          <w:b/>
          <w:color w:val="6B7280"/>
          <w:sz w:val="18"/>
        </w:rPr>
        <w:t xml:space="preserve">Step 5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Run quarterly external vulnerability scans by an Approved Scanning Vendor (ASV).</w:t>
      </w:r>
    </w:p>
    <w:p>
      <w:pPr>
        <w:spacing w:after="40"/>
      </w:pPr>
      <w:r>
        <w:rPr>
          <w:b/>
          <w:color w:val="6B7280"/>
          <w:sz w:val="18"/>
        </w:rPr>
        <w:t xml:space="preserve">Step 6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Run quarterly internal vulnerability scans.</w:t>
      </w:r>
    </w:p>
    <w:p>
      <w:pPr>
        <w:spacing w:after="40"/>
      </w:pPr>
      <w:r>
        <w:rPr>
          <w:b/>
          <w:color w:val="6B7280"/>
          <w:sz w:val="18"/>
        </w:rPr>
        <w:t xml:space="preserve">Step 7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Conduct annual penetration testing (network + application).</w:t>
      </w:r>
    </w:p>
    <w:p>
      <w:pPr>
        <w:spacing w:after="40"/>
      </w:pPr>
      <w:r>
        <w:rPr>
          <w:b/>
          <w:color w:val="6B7280"/>
          <w:sz w:val="18"/>
        </w:rPr>
        <w:t xml:space="preserve">Step 8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Maintain an inventory of all CDE system components, software, and personnel.</w:t>
      </w:r>
    </w:p>
    <w:p>
      <w:pPr>
        <w:spacing w:after="40"/>
      </w:pPr>
      <w:r>
        <w:rPr>
          <w:b/>
          <w:color w:val="6B7280"/>
          <w:sz w:val="18"/>
        </w:rPr>
        <w:t xml:space="preserve">Step 9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Document and review user access controls, change management, and incident response procedures.</w:t>
      </w:r>
    </w:p>
    <w:p>
      <w:pPr>
        <w:spacing w:after="40"/>
      </w:pPr>
      <w:r>
        <w:rPr>
          <w:b/>
          <w:color w:val="6B7280"/>
          <w:sz w:val="18"/>
        </w:rPr>
        <w:t xml:space="preserve">Step 10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Complete and submit the Attestation of Compliance (AOC) to your acquirer or card brand.</w:t>
      </w:r>
    </w:p>
    <w:p>
      <w:pPr>
        <w:spacing w:after="140"/>
      </w:pPr>
      <w:r>
        <w:rPr>
          <w:b/>
          <w:color w:val="111827"/>
          <w:sz w:val="28"/>
        </w:rPr>
        <w:t xml:space="preserve">FAQ</w:t>
      </w:r>
    </w:p>
    <w:p>
      <w:pPr>
        <w:spacing w:after="80"/>
      </w:pPr>
      <w:r>
        <w:rPr>
          <w:b/>
          <w:color w:val="111827"/>
          <w:sz w:val="23"/>
        </w:rPr>
        <w:t xml:space="preserve">What is the difference between PCI DSS 3.2.1 and 4.0?</w:t>
      </w:r>
    </w:p>
    <w:p>
      <w:pPr>
        <w:spacing w:after="180"/>
      </w:pPr>
      <w:r>
        <w:rPr>
          <w:color w:val="4B5563"/>
          <w:sz w:val="22"/>
        </w:rPr>
        <w:t xml:space="preserve">PCI DSS 4.0.1 is the current version. v4.0 (effective 31 March 2024) was retired on 31 December 2024 and replaced by v4.0.1 (published 11 June 2024) - a minor errata release. The 51 future-dated requirements introduced in v4.0 became mandatory on 31 March 2025. v4.0.1 introduces the customised-approach option, expanded multi-factor authentication, and more granular requirements for service providers. PCI DSS 3.2.1 was retired with the v4.0 transition.</w:t>
      </w:r>
    </w:p>
    <w:p>
      <w:pPr>
        <w:spacing w:after="80"/>
      </w:pPr>
      <w:r>
        <w:rPr>
          <w:b/>
          <w:color w:val="111827"/>
          <w:sz w:val="23"/>
        </w:rPr>
        <w:t xml:space="preserve">Do I need a QSA?</w:t>
      </w:r>
    </w:p>
    <w:p>
      <w:pPr>
        <w:spacing w:after="180"/>
      </w:pPr>
      <w:r>
        <w:rPr>
          <w:color w:val="4B5563"/>
          <w:sz w:val="22"/>
        </w:rPr>
        <w:t xml:space="preserve">Merchants Levels 2–4 generally self-assess via SAQ. Level 1 merchants and most service providers require an annual Report on Compliance (ROC) prepared by a Qualified Security Assessor (QSA). Card brands and acquirers can impose stricter requirements based on history.</w:t>
      </w:r>
    </w:p>
    <w:p>
      <w:pPr>
        <w:spacing w:after="80"/>
      </w:pPr>
      <w:r>
        <w:rPr>
          <w:b/>
          <w:color w:val="111827"/>
          <w:sz w:val="23"/>
        </w:rPr>
        <w:t xml:space="preserve">How does scope reduction help?</w:t>
      </w:r>
    </w:p>
    <w:p>
      <w:pPr>
        <w:spacing w:after="180"/>
      </w:pPr>
      <w:r>
        <w:rPr>
          <w:color w:val="4B5563"/>
          <w:sz w:val="22"/>
        </w:rPr>
        <w:t xml:space="preserve">Every system that stores, processes, or transmits cardholder data - or is connected to one that does - is in scope. Network segmentation, tokenisation, and P2PE all reduce the in-scope footprint, which directly reduces the cost and risk of compliance. SAQ-A (e-commerce with all card data handled by a PCI-validated third party) is dramatically simpler than SAQ-D.</w:t>
      </w:r>
    </w:p>
    <w:p>
      <w:pPr>
        <w:spacing w:after="80"/>
      </w:pPr>
      <w:r>
        <w:rPr>
          <w:b/>
          <w:color w:val="111827"/>
          <w:sz w:val="23"/>
        </w:rPr>
        <w:t xml:space="preserve">How often do I need a penetration test?</w:t>
      </w:r>
    </w:p>
    <w:p>
      <w:pPr>
        <w:spacing w:after="180"/>
      </w:pPr>
      <w:r>
        <w:rPr>
          <w:color w:val="4B5563"/>
          <w:sz w:val="22"/>
        </w:rPr>
        <w:t xml:space="preserve">External and internal penetration testing at least annually, and after any significant change to the CDE. Service providers have an additional obligation under PCI DSS Requirement 11.4.6: penetration testing on segmentation controls every 6 months (not general internal pen testing - specifically the controls that isolate the CDE from other networks).</w:t>
      </w:r>
    </w:p>
    <w:p>
      <w:pPr>
        <w:spacing w:after="80"/>
      </w:pPr>
      <w:r>
        <w:rPr>
          <w:color w:val="6B7280"/>
          <w:sz w:val="18"/>
        </w:rPr>
        <w:t xml:space="preserve">Source: https://ba-copilot.com/compliance/pci-compliance-checklist</w:t>
      </w:r>
    </w:p>
    <w:sectPr>
      <w:pgSz w:w="11906" w:h="16838"/>
      <w:pgMar w:top="1440" w:right="1440" w:bottom="1440" w:left="1440" w:header="708" w:footer="708" w:gutter="0"/>
    </w:sectPr>
  </w:body>
</w:document>
</file>