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spacing w:after="80"/>
      </w:pPr>
      <w:r>
        <w:rPr>
          <w:b/>
          <w:color w:val="4F46E5"/>
          <w:sz w:val="18"/>
        </w:rPr>
        <w:t xml:space="preserve">BA Copilot Compliance Checklist</w:t>
      </w:r>
    </w:p>
    <w:p>
      <w:pPr>
        <w:spacing w:after="80"/>
      </w:pPr>
      <w:r>
        <w:rPr>
          <w:b/>
          <w:color w:val="111827"/>
          <w:sz w:val="36"/>
        </w:rPr>
        <w:t xml:space="preserve">DORA compliance checklist</w:t>
      </w:r>
    </w:p>
    <w:p>
      <w:pPr>
        <w:spacing w:after="80"/>
      </w:pPr>
      <w:r>
        <w:rPr>
          <w:color w:val="4B5563"/>
          <w:sz w:val="24"/>
        </w:rPr>
        <w:t xml:space="preserve">Digital Operational Resilience Act (Regulation 2022/2554)</w:t>
      </w:r>
    </w:p>
    <w:p>
      <w:pPr>
        <w:spacing w:after="260"/>
      </w:pPr>
      <w:r>
        <w:rPr>
          <w:color w:val="4B5563"/>
          <w:sz w:val="20"/>
        </w:rPr>
        <w:t xml:space="preserve">Jurisdiction: EU financial entities + their ICT third-party service providers</w:t>
      </w:r>
    </w:p>
    <w:p>
      <w:pPr>
        <w:spacing w:after="140"/>
      </w:pPr>
      <w:r>
        <w:rPr>
          <w:b/>
          <w:color w:val="111827"/>
          <w:sz w:val="28"/>
        </w:rPr>
        <w:t xml:space="preserve">Programme details</w:t>
      </w:r>
    </w:p>
    <w:p>
      <w:pPr>
        <w:spacing w:after="120"/>
      </w:pPr>
      <w:r>
        <w:rPr>
          <w:color w:val="111827"/>
          <w:sz w:val="22"/>
        </w:rPr>
        <w:t xml:space="preserve">Organisation name: [Organisation name]</w:t>
      </w:r>
    </w:p>
    <w:p>
      <w:pPr>
        <w:spacing w:after="120"/>
      </w:pPr>
      <w:r>
        <w:rPr>
          <w:color w:val="111827"/>
          <w:sz w:val="22"/>
        </w:rPr>
        <w:t xml:space="preserve">Assigned to: [Assigned to]</w:t>
      </w:r>
    </w:p>
    <w:p>
      <w:pPr>
        <w:spacing w:after="120"/>
      </w:pPr>
      <w:r>
        <w:rPr>
          <w:color w:val="111827"/>
          <w:sz w:val="22"/>
        </w:rPr>
        <w:t xml:space="preserve">Target completion date: [Target completion date]</w:t>
      </w:r>
    </w:p>
    <w:p>
      <w:pPr>
        <w:spacing w:after="120"/>
      </w:pPr>
      <w:r>
        <w:rPr>
          <w:color w:val="111827"/>
          <w:sz w:val="22"/>
        </w:rPr>
        <w:t xml:space="preserve">Reviewed by: [Reviewed by]</w:t>
      </w:r>
    </w:p>
    <w:p>
      <w:pPr>
        <w:spacing w:after="220"/>
      </w:pPr>
      <w:r>
        <w:rPr>
          <w:color w:val="111827"/>
          <w:sz w:val="22"/>
        </w:rPr>
        <w:t xml:space="preserve">Review date: [Date]</w:t>
      </w:r>
    </w:p>
    <w:p>
      <w:pPr>
        <w:spacing w:after="140"/>
      </w:pPr>
      <w:r>
        <w:rPr>
          <w:b/>
          <w:color w:val="111827"/>
          <w:sz w:val="28"/>
        </w:rPr>
        <w:t xml:space="preserve">Who DORA applies to</w:t>
      </w:r>
    </w:p>
    <w:p>
      <w:pPr>
        <w:spacing w:after="220"/>
      </w:pPr>
      <w:r>
        <w:rPr>
          <w:color w:val="111827"/>
          <w:sz w:val="22"/>
        </w:rPr>
        <w:t xml:space="preserve">EU financial entities including credit institutions, payment institutions, e-money institutions, investment firms, insurers, reinsurers, AIFs, UCITS, crypto-asset service providers under MiCA, and central counterparties. Also applies to critical ICT third-party service providers under EU oversight.</w:t>
      </w:r>
    </w:p>
    <w:p>
      <w:pPr>
        <w:spacing w:after="140"/>
      </w:pPr>
      <w:r>
        <w:rPr>
          <w:b/>
          <w:color w:val="111827"/>
          <w:sz w:val="28"/>
        </w:rPr>
        <w:t xml:space="preserve">DORA checklist</w:t>
      </w:r>
    </w:p>
    <w:p>
      <w:pPr>
        <w:spacing w:after="40"/>
      </w:pPr>
      <w:r>
        <w:rPr>
          <w:b/>
          <w:color w:val="6B7280"/>
          <w:sz w:val="18"/>
        </w:rPr>
        <w:t xml:space="preserve">Step 1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Define the in-scope DORA perimeter (entity categories + critical third parties).</w:t>
      </w:r>
    </w:p>
    <w:p>
      <w:pPr>
        <w:spacing w:after="40"/>
      </w:pPr>
      <w:r>
        <w:rPr>
          <w:b/>
          <w:color w:val="6B7280"/>
          <w:sz w:val="18"/>
        </w:rPr>
        <w:t xml:space="preserve">Step 2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Establish the ICT risk management framework and assign management body responsibility.</w:t>
      </w:r>
    </w:p>
    <w:p>
      <w:pPr>
        <w:spacing w:after="40"/>
      </w:pPr>
      <w:r>
        <w:rPr>
          <w:b/>
          <w:color w:val="6B7280"/>
          <w:sz w:val="18"/>
        </w:rPr>
        <w:t xml:space="preserve">Step 3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Maintain a register of ICT systems, processes, and the people responsible.</w:t>
      </w:r>
    </w:p>
    <w:p>
      <w:pPr>
        <w:spacing w:after="40"/>
      </w:pPr>
      <w:r>
        <w:rPr>
          <w:b/>
          <w:color w:val="6B7280"/>
          <w:sz w:val="18"/>
        </w:rPr>
        <w:t xml:space="preserve">Step 4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Build the ICT-related incident classification, management, and reporting workflow.</w:t>
      </w:r>
    </w:p>
    <w:p>
      <w:pPr>
        <w:spacing w:after="40"/>
      </w:pPr>
      <w:r>
        <w:rPr>
          <w:b/>
          <w:color w:val="6B7280"/>
          <w:sz w:val="18"/>
        </w:rPr>
        <w:t xml:space="preserve">Step 5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Define and document the digital operational resilience testing programme.</w:t>
      </w:r>
    </w:p>
    <w:p>
      <w:pPr>
        <w:spacing w:after="40"/>
      </w:pPr>
      <w:r>
        <w:rPr>
          <w:b/>
          <w:color w:val="6B7280"/>
          <w:sz w:val="18"/>
        </w:rPr>
        <w:t xml:space="preserve">Step 6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For significant entities: conduct threat-led penetration testing (TLPT) every 3 years.</w:t>
      </w:r>
    </w:p>
    <w:p>
      <w:pPr>
        <w:spacing w:after="40"/>
      </w:pPr>
      <w:r>
        <w:rPr>
          <w:b/>
          <w:color w:val="6B7280"/>
          <w:sz w:val="18"/>
        </w:rPr>
        <w:t xml:space="preserve">Step 7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Maintain the ICT third-party register and contractual arrangements per Article 28.</w:t>
      </w:r>
    </w:p>
    <w:p>
      <w:pPr>
        <w:spacing w:after="40"/>
      </w:pPr>
      <w:r>
        <w:rPr>
          <w:b/>
          <w:color w:val="6B7280"/>
          <w:sz w:val="18"/>
        </w:rPr>
        <w:t xml:space="preserve">Step 8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Manage concentration risk and exit strategies for critical third-party dependencies.</w:t>
      </w:r>
    </w:p>
    <w:p>
      <w:pPr>
        <w:spacing w:after="40"/>
      </w:pPr>
      <w:r>
        <w:rPr>
          <w:b/>
          <w:color w:val="6B7280"/>
          <w:sz w:val="18"/>
        </w:rPr>
        <w:t xml:space="preserve">Step 9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Submit annual reports to the competent authority covering all five pillars.</w:t>
      </w:r>
    </w:p>
    <w:p>
      <w:pPr>
        <w:spacing w:after="40"/>
      </w:pPr>
      <w:r>
        <w:rPr>
          <w:b/>
          <w:color w:val="6B7280"/>
          <w:sz w:val="18"/>
        </w:rPr>
        <w:t xml:space="preserve">Step 10</w:t>
      </w:r>
    </w:p>
    <w:p>
      <w:pPr>
        <w:spacing w:after="100"/>
        <w:ind w:left="360"/>
      </w:pPr>
      <w:r>
        <w:rPr>
          <w:color w:val="111827"/>
          <w:sz w:val="22"/>
        </w:rPr>
        <w:t xml:space="preserve">[ ]  Update the framework based on incident learnings, regulatory technical standards, and supervisory expectations.</w:t>
      </w:r>
    </w:p>
    <w:p>
      <w:pPr>
        <w:spacing w:after="140"/>
      </w:pPr>
      <w:r>
        <w:rPr>
          <w:b/>
          <w:color w:val="111827"/>
          <w:sz w:val="28"/>
        </w:rPr>
        <w:t xml:space="preserve">FAQ</w:t>
      </w:r>
    </w:p>
    <w:p>
      <w:pPr>
        <w:spacing w:after="80"/>
      </w:pPr>
      <w:r>
        <w:rPr>
          <w:b/>
          <w:color w:val="111827"/>
          <w:sz w:val="23"/>
        </w:rPr>
        <w:t xml:space="preserve">When did DORA take effect?</w:t>
      </w:r>
    </w:p>
    <w:p>
      <w:pPr>
        <w:spacing w:after="180"/>
      </w:pPr>
      <w:r>
        <w:rPr>
          <w:color w:val="4B5563"/>
          <w:sz w:val="22"/>
        </w:rPr>
        <w:t xml:space="preserve">DORA entered into force on 16 January 2023 and became applicable on 17 January 2025. From that date, in-scope financial entities and critical ICT third-party providers must comply with the full regulation and the associated regulatory technical standards (RTS) and implementing technical standards (ITS).</w:t>
      </w:r>
    </w:p>
    <w:p>
      <w:pPr>
        <w:spacing w:after="80"/>
      </w:pPr>
      <w:r>
        <w:rPr>
          <w:b/>
          <w:color w:val="111827"/>
          <w:sz w:val="23"/>
        </w:rPr>
        <w:t xml:space="preserve">Who counts as a "critical ICT third-party service provider"?</w:t>
      </w:r>
    </w:p>
    <w:p>
      <w:pPr>
        <w:spacing w:after="180"/>
      </w:pPr>
      <w:r>
        <w:rPr>
          <w:color w:val="4B5563"/>
          <w:sz w:val="22"/>
        </w:rPr>
        <w:t xml:space="preserve">The European Supervisory Authorities (ESAs) designate critical ICT TPPs (CTPPs) under Article 31 - hyperscale cloud providers, major SaaS vendors, and core banking software providers being the obvious candidates. CTPPs face direct EU oversight regardless of whether their financial-entity customers each subject them to oversight.</w:t>
      </w:r>
    </w:p>
    <w:p>
      <w:pPr>
        <w:spacing w:after="80"/>
      </w:pPr>
      <w:r>
        <w:rPr>
          <w:b/>
          <w:color w:val="111827"/>
          <w:sz w:val="23"/>
        </w:rPr>
        <w:t xml:space="preserve">What is Threat-Led Penetration Testing (TLPT)?</w:t>
      </w:r>
    </w:p>
    <w:p>
      <w:pPr>
        <w:spacing w:after="180"/>
      </w:pPr>
      <w:r>
        <w:rPr>
          <w:color w:val="4B5563"/>
          <w:sz w:val="22"/>
        </w:rPr>
        <w:t xml:space="preserve">TLPT is realistic, intelligence-driven testing of an entity's ICT systems and processes by skilled "ethical hackers" using TTPs (tactics, techniques, procedures) of real threat actors. DORA requires TLPT every 3 years for significant entities under Article 26, aligned with the TIBER-EU framework where relevant.</w:t>
      </w:r>
    </w:p>
    <w:p>
      <w:pPr>
        <w:spacing w:after="80"/>
      </w:pPr>
      <w:r>
        <w:rPr>
          <w:b/>
          <w:color w:val="111827"/>
          <w:sz w:val="23"/>
        </w:rPr>
        <w:t xml:space="preserve">How does DORA interact with the NIS2 Directive?</w:t>
      </w:r>
    </w:p>
    <w:p>
      <w:pPr>
        <w:spacing w:after="180"/>
      </w:pPr>
      <w:r>
        <w:rPr>
          <w:color w:val="4B5563"/>
          <w:sz w:val="22"/>
        </w:rPr>
        <w:t xml:space="preserve">DORA is the lex specialis for the financial sector - where DORA applies, it overrides NIS2 obligations for the same matters. Financial entities should map their obligations under both and document the DORA / NIS2 boundary in their compliance programme.</w:t>
      </w:r>
    </w:p>
    <w:p>
      <w:pPr>
        <w:spacing w:after="80"/>
      </w:pPr>
      <w:r>
        <w:rPr>
          <w:color w:val="6B7280"/>
          <w:sz w:val="18"/>
        </w:rPr>
        <w:t xml:space="preserve">Source: https://ba-copilot.com/compliance/dora-compliance-checklist</w:t>
      </w:r>
    </w:p>
    <w:sectPr>
      <w:pgSz w:w="11906" w:h="16838"/>
      <w:pgMar w:top="1440" w:right="1440" w:bottom="1440" w:left="1440" w:header="708" w:footer="708" w:gutter="0"/>
    </w:sectPr>
  </w:body>
</w:document>
</file>