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spacing w:after="80"/>
      </w:pPr>
      <w:r>
        <w:rPr>
          <w:b/>
          <w:color w:val="4F46E5"/>
          <w:sz w:val="18"/>
        </w:rPr>
        <w:t xml:space="preserve">BA Copilot Compliance Checklist</w:t>
      </w:r>
    </w:p>
    <w:p>
      <w:pPr>
        <w:spacing w:after="80"/>
      </w:pPr>
      <w:r>
        <w:rPr>
          <w:b/>
          <w:color w:val="111827"/>
          <w:sz w:val="36"/>
        </w:rPr>
        <w:t xml:space="preserve">CCPA / CPRA compliance checklist</w:t>
      </w:r>
    </w:p>
    <w:p>
      <w:pPr>
        <w:spacing w:after="80"/>
      </w:pPr>
      <w:r>
        <w:rPr>
          <w:color w:val="4B5563"/>
          <w:sz w:val="24"/>
        </w:rPr>
        <w:t xml:space="preserve">California Consumer Privacy Act, as amended by the CPRA</w:t>
      </w:r>
    </w:p>
    <w:p>
      <w:pPr>
        <w:spacing w:after="260"/>
      </w:pPr>
      <w:r>
        <w:rPr>
          <w:color w:val="4B5563"/>
          <w:sz w:val="20"/>
        </w:rPr>
        <w:t xml:space="preserve">Jurisdiction: Businesses subject to California consumer privacy law</w:t>
      </w:r>
    </w:p>
    <w:p>
      <w:pPr>
        <w:spacing w:after="140"/>
      </w:pPr>
      <w:r>
        <w:rPr>
          <w:b/>
          <w:color w:val="111827"/>
          <w:sz w:val="28"/>
        </w:rPr>
        <w:t xml:space="preserve">Programme details</w:t>
      </w:r>
    </w:p>
    <w:p>
      <w:pPr>
        <w:spacing w:after="120"/>
      </w:pPr>
      <w:r>
        <w:rPr>
          <w:color w:val="111827"/>
          <w:sz w:val="22"/>
        </w:rPr>
        <w:t xml:space="preserve">Organisation name: [Organisation name]</w:t>
      </w:r>
    </w:p>
    <w:p>
      <w:pPr>
        <w:spacing w:after="120"/>
      </w:pPr>
      <w:r>
        <w:rPr>
          <w:color w:val="111827"/>
          <w:sz w:val="22"/>
        </w:rPr>
        <w:t xml:space="preserve">Assigned to: [Assigned to]</w:t>
      </w:r>
    </w:p>
    <w:p>
      <w:pPr>
        <w:spacing w:after="120"/>
      </w:pPr>
      <w:r>
        <w:rPr>
          <w:color w:val="111827"/>
          <w:sz w:val="22"/>
        </w:rPr>
        <w:t xml:space="preserve">Target completion date: [Target completion date]</w:t>
      </w:r>
    </w:p>
    <w:p>
      <w:pPr>
        <w:spacing w:after="120"/>
      </w:pPr>
      <w:r>
        <w:rPr>
          <w:color w:val="111827"/>
          <w:sz w:val="22"/>
        </w:rPr>
        <w:t xml:space="preserve">Reviewed by: [Reviewed by]</w:t>
      </w:r>
    </w:p>
    <w:p>
      <w:pPr>
        <w:spacing w:after="220"/>
      </w:pPr>
      <w:r>
        <w:rPr>
          <w:color w:val="111827"/>
          <w:sz w:val="22"/>
        </w:rPr>
        <w:t xml:space="preserve">Review date: [Date]</w:t>
      </w:r>
    </w:p>
    <w:p>
      <w:pPr>
        <w:spacing w:after="140"/>
      </w:pPr>
      <w:r>
        <w:rPr>
          <w:b/>
          <w:color w:val="111827"/>
          <w:sz w:val="28"/>
        </w:rPr>
        <w:t xml:space="preserve">Who CCPA / CPRA applies to</w:t>
      </w:r>
    </w:p>
    <w:p>
      <w:pPr>
        <w:spacing w:after="220"/>
      </w:pPr>
      <w:r>
        <w:rPr>
          <w:color w:val="111827"/>
          <w:sz w:val="22"/>
        </w:rPr>
        <w:t xml:space="preserve">Businesses that do business in California and meet at least one CCPA threshold: $26,625,000+ in annual revenue (CPPA-adjusted as of 1 January 2025), 100,000+ California consumers / households, or 50%+ of revenue from selling personal information.</w:t>
      </w:r>
    </w:p>
    <w:p>
      <w:pPr>
        <w:spacing w:after="140"/>
      </w:pPr>
      <w:r>
        <w:rPr>
          <w:b/>
          <w:color w:val="111827"/>
          <w:sz w:val="28"/>
        </w:rPr>
        <w:t xml:space="preserve">CCPA / CPRA checklist</w:t>
      </w:r>
    </w:p>
    <w:p>
      <w:pPr>
        <w:spacing w:after="40"/>
      </w:pPr>
      <w:r>
        <w:rPr>
          <w:b/>
          <w:color w:val="6B7280"/>
          <w:sz w:val="18"/>
        </w:rPr>
        <w:t xml:space="preserve">Step 1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Confirm CCPA applicability and document the basis (revenue threshold - $26.625M+ as of 1 Jan 2025, consumer count of 100K+, or 50%+ revenue from sale of PI).</w:t>
      </w:r>
    </w:p>
    <w:p>
      <w:pPr>
        <w:spacing w:after="40"/>
      </w:pPr>
      <w:r>
        <w:rPr>
          <w:b/>
          <w:color w:val="6B7280"/>
          <w:sz w:val="18"/>
        </w:rPr>
        <w:t xml:space="preserve">Step 2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Inventory the personal information you collect, the sources, the purposes, and disclosures.</w:t>
      </w:r>
    </w:p>
    <w:p>
      <w:pPr>
        <w:spacing w:after="40"/>
      </w:pPr>
      <w:r>
        <w:rPr>
          <w:b/>
          <w:color w:val="6B7280"/>
          <w:sz w:val="18"/>
        </w:rPr>
        <w:t xml:space="preserve">Step 3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Publish a CCPA-compliant privacy notice covering all required disclosures (CCPA § 1798.100).</w:t>
      </w:r>
    </w:p>
    <w:p>
      <w:pPr>
        <w:spacing w:after="40"/>
      </w:pPr>
      <w:r>
        <w:rPr>
          <w:b/>
          <w:color w:val="6B7280"/>
          <w:sz w:val="18"/>
        </w:rPr>
        <w:t xml:space="preserve">Step 4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Stand up a "Do Not Sell or Share My Personal Information" link and signal-honouring mechanism.</w:t>
      </w:r>
    </w:p>
    <w:p>
      <w:pPr>
        <w:spacing w:after="40"/>
      </w:pPr>
      <w:r>
        <w:rPr>
          <w:b/>
          <w:color w:val="6B7280"/>
          <w:sz w:val="18"/>
        </w:rPr>
        <w:t xml:space="preserve">Step 5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Build the consumer rights request workflow - Know, Delete, Correct, Opt-Out, Limit Use of SPI.</w:t>
      </w:r>
    </w:p>
    <w:p>
      <w:pPr>
        <w:spacing w:after="40"/>
      </w:pPr>
      <w:r>
        <w:rPr>
          <w:b/>
          <w:color w:val="6B7280"/>
          <w:sz w:val="18"/>
        </w:rPr>
        <w:t xml:space="preserve">Step 6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Implement identity verification proportionate to the request type and the data sensitivity.</w:t>
      </w:r>
    </w:p>
    <w:p>
      <w:pPr>
        <w:spacing w:after="40"/>
      </w:pPr>
      <w:r>
        <w:rPr>
          <w:b/>
          <w:color w:val="6B7280"/>
          <w:sz w:val="18"/>
        </w:rPr>
        <w:t xml:space="preserve">Step 7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Update vendor agreements with service-provider / contractor / third-party terms.</w:t>
      </w:r>
    </w:p>
    <w:p>
      <w:pPr>
        <w:spacing w:after="40"/>
      </w:pPr>
      <w:r>
        <w:rPr>
          <w:b/>
          <w:color w:val="6B7280"/>
          <w:sz w:val="18"/>
        </w:rPr>
        <w:t xml:space="preserve">Step 8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Train staff on intake, verification, and the 45-day response window (extendable by 45 days).</w:t>
      </w:r>
    </w:p>
    <w:p>
      <w:pPr>
        <w:spacing w:after="40"/>
      </w:pPr>
      <w:r>
        <w:rPr>
          <w:b/>
          <w:color w:val="6B7280"/>
          <w:sz w:val="18"/>
        </w:rPr>
        <w:t xml:space="preserve">Step 9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Log all consumer requests, response times, and outcomes for the metrics report.</w:t>
      </w:r>
    </w:p>
    <w:p>
      <w:pPr>
        <w:spacing w:after="40"/>
      </w:pPr>
      <w:r>
        <w:rPr>
          <w:b/>
          <w:color w:val="6B7280"/>
          <w:sz w:val="18"/>
        </w:rPr>
        <w:t xml:space="preserve">Step 10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Annual review and update for legislative or regulatory changes.</w:t>
      </w:r>
    </w:p>
    <w:p>
      <w:pPr>
        <w:spacing w:after="140"/>
      </w:pPr>
      <w:r>
        <w:rPr>
          <w:b/>
          <w:color w:val="111827"/>
          <w:sz w:val="28"/>
        </w:rPr>
        <w:t xml:space="preserve">FAQ</w:t>
      </w:r>
    </w:p>
    <w:p>
      <w:pPr>
        <w:spacing w:after="80"/>
      </w:pPr>
      <w:r>
        <w:rPr>
          <w:b/>
          <w:color w:val="111827"/>
          <w:sz w:val="23"/>
        </w:rPr>
        <w:t xml:space="preserve">Is the CPRA a different law from the CCPA?</w:t>
      </w:r>
    </w:p>
    <w:p>
      <w:pPr>
        <w:spacing w:after="180"/>
      </w:pPr>
      <w:r>
        <w:rPr>
          <w:color w:val="4B5563"/>
          <w:sz w:val="22"/>
        </w:rPr>
        <w:t xml:space="preserve">The California Privacy Rights Act (CPRA) is a 2020 ballot measure that amended and expanded the CCPA, effective 1 January 2023. The combined regime is often called "CCPA / CPRA" or just "CCPA". The CPRA added rights (Correct, Limit Use of Sensitive PI), restructured "sale" into "sale or share", and established the California Privacy Protection Agency.</w:t>
      </w:r>
    </w:p>
    <w:p>
      <w:pPr>
        <w:spacing w:after="80"/>
      </w:pPr>
      <w:r>
        <w:rPr>
          <w:b/>
          <w:color w:val="111827"/>
          <w:sz w:val="23"/>
        </w:rPr>
        <w:t xml:space="preserve">Do I need to honour Global Privacy Control (GPC) signals?</w:t>
      </w:r>
    </w:p>
    <w:p>
      <w:pPr>
        <w:spacing w:after="180"/>
      </w:pPr>
      <w:r>
        <w:rPr>
          <w:color w:val="4B5563"/>
          <w:sz w:val="22"/>
        </w:rPr>
        <w:t xml:space="preserve">Yes. The CPPA has confirmed that businesses subject to the CCPA / CPRA must honour GPC signals as a valid opt-out of sale or share for the browser sending the signal.</w:t>
      </w:r>
    </w:p>
    <w:p>
      <w:pPr>
        <w:spacing w:after="80"/>
      </w:pPr>
      <w:r>
        <w:rPr>
          <w:b/>
          <w:color w:val="111827"/>
          <w:sz w:val="23"/>
        </w:rPr>
        <w:t xml:space="preserve">What is the difference between a "service provider" and a "third party" under CCPA?</w:t>
      </w:r>
    </w:p>
    <w:p>
      <w:pPr>
        <w:spacing w:after="180"/>
      </w:pPr>
      <w:r>
        <w:rPr>
          <w:color w:val="4B5563"/>
          <w:sz w:val="22"/>
        </w:rPr>
        <w:t xml:space="preserve">A service provider processes personal information on the business's behalf under a CCPA-compliant contract that restricts use to the disclosed business purposes. A third party is everyone else - and disclosure of PI to a third party is treated as a "sale" or "share" requiring opt-out. The vendor contract language is what determines which bucket a recipient falls into.</w:t>
      </w:r>
    </w:p>
    <w:p>
      <w:pPr>
        <w:spacing w:after="80"/>
      </w:pPr>
      <w:r>
        <w:rPr>
          <w:b/>
          <w:color w:val="111827"/>
          <w:sz w:val="23"/>
        </w:rPr>
        <w:t xml:space="preserve">How long do I have to respond to a consumer rights request?</w:t>
      </w:r>
    </w:p>
    <w:p>
      <w:pPr>
        <w:spacing w:after="180"/>
      </w:pPr>
      <w:r>
        <w:rPr>
          <w:color w:val="4B5563"/>
          <w:sz w:val="22"/>
        </w:rPr>
        <w:t xml:space="preserve">Confirm receipt within 10 business days; substantively respond within 45 calendar days. You can extend by an additional 45 days where reasonably necessary, with notice to the consumer.</w:t>
      </w:r>
    </w:p>
    <w:p>
      <w:pPr>
        <w:spacing w:after="80"/>
      </w:pPr>
      <w:r>
        <w:rPr>
          <w:color w:val="6B7280"/>
          <w:sz w:val="18"/>
        </w:rPr>
        <w:t xml:space="preserve">Source: https://ba-copilot.com/compliance/ccpa-compliance-checklist</w:t>
      </w:r>
    </w:p>
    <w:sectPr>
      <w:pgSz w:w="11906" w:h="16838"/>
      <w:pgMar w:top="1440" w:right="1440" w:bottom="1440" w:left="1440" w:header="708" w:footer="708" w:gutter="0"/>
    </w:sectPr>
  </w:body>
</w:document>
</file>