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pacing w:after="80"/>
      </w:pPr>
      <w:r>
        <w:rPr>
          <w:b/>
          <w:color w:val="4F46E5"/>
          <w:sz w:val="18"/>
        </w:rPr>
        <w:t xml:space="preserve">BA Copilot - APRA CPS 230 readiness</w:t>
      </w:r>
    </w:p>
    <w:p>
      <w:pPr>
        <w:spacing w:after="80"/>
      </w:pPr>
      <w:r>
        <w:rPr>
          <w:b/>
          <w:color w:val="111827"/>
          <w:sz w:val="36"/>
        </w:rPr>
        <w:t xml:space="preserve">APRA CPS 230 readiness one-pager</w:t>
      </w:r>
    </w:p>
    <w:p>
      <w:pPr>
        <w:spacing w:after="80"/>
      </w:pPr>
      <w:r>
        <w:rPr>
          <w:color w:val="4B5563"/>
          <w:sz w:val="24"/>
        </w:rPr>
        <w:t xml:space="preserve">APRA Prudential Standard CPS 230 (Operational Risk Management)</w:t>
      </w:r>
    </w:p>
    <w:p>
      <w:pPr>
        <w:spacing w:after="260"/>
      </w:pPr>
      <w:r>
        <w:rPr>
          <w:color w:val="4B5563"/>
          <w:sz w:val="20"/>
        </w:rPr>
        <w:t xml:space="preserve">Jurisdiction: Australia - APRA-regulated entities (banks, insurers, RSE licensees)</w:t>
      </w:r>
    </w:p>
    <w:p>
      <w:pPr>
        <w:spacing w:after="140"/>
      </w:pPr>
      <w:r>
        <w:rPr>
          <w:b/>
          <w:color w:val="111827"/>
          <w:sz w:val="28"/>
        </w:rPr>
        <w:t xml:space="preserve">Programme details</w:t>
      </w:r>
    </w:p>
    <w:p>
      <w:pPr>
        <w:spacing w:after="120"/>
      </w:pPr>
      <w:r>
        <w:rPr>
          <w:color w:val="111827"/>
          <w:sz w:val="22"/>
        </w:rPr>
        <w:t xml:space="preserve">Organisation name: [Organisation name]</w:t>
      </w:r>
    </w:p>
    <w:p>
      <w:pPr>
        <w:spacing w:after="120"/>
      </w:pPr>
      <w:r>
        <w:rPr>
          <w:color w:val="111827"/>
          <w:sz w:val="22"/>
        </w:rPr>
        <w:t xml:space="preserve">Programme owner: [Programme owner]</w:t>
      </w:r>
    </w:p>
    <w:p>
      <w:pPr>
        <w:spacing w:after="220"/>
      </w:pPr>
      <w:r>
        <w:rPr>
          <w:color w:val="111827"/>
          <w:sz w:val="22"/>
        </w:rPr>
        <w:t xml:space="preserve">Target date: [Target date]</w:t>
      </w:r>
    </w:p>
    <w:p>
      <w:pPr>
        <w:spacing w:after="140"/>
      </w:pPr>
      <w:r>
        <w:rPr>
          <w:b/>
          <w:color w:val="111827"/>
          <w:sz w:val="28"/>
        </w:rPr>
        <w:t xml:space="preserve">Overview</w:t>
      </w:r>
    </w:p>
    <w:p>
      <w:pPr>
        <w:spacing w:after="220"/>
      </w:pPr>
      <w:r>
        <w:rPr>
          <w:color w:val="111827"/>
          <w:sz w:val="22"/>
        </w:rPr>
        <w:t xml:space="preserve">An APRA CPS 230 operational-risk programme rendered as a BPMN 2.0 process map. The flow identifies critical operations, sets impact tolerances, assesses material service-provider risk, drives remediation where tolerances are breached, runs scenario testing, and reports annually to the board - the core obligations that have been in force since 1 July 2025, with legacy material service-provider arrangements required to comply by 1 July 2026.</w:t>
      </w:r>
    </w:p>
    <w:p>
      <w:pPr>
        <w:spacing w:after="140"/>
      </w:pPr>
      <w:r>
        <w:rPr>
          <w:b/>
          <w:color w:val="111827"/>
          <w:sz w:val="28"/>
        </w:rPr>
        <w:t xml:space="preserve">Programme steps</w:t>
      </w:r>
    </w:p>
    <w:p>
      <w:pPr>
        <w:spacing w:after="40"/>
      </w:pPr>
      <w:r>
        <w:rPr>
          <w:b/>
          <w:color w:val="6B7280"/>
          <w:sz w:val="18"/>
        </w:rPr>
        <w:t xml:space="preserve">Step 1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Operational Risk kicks off the CPS 230 programme and identifies the entity's critical operations.</w:t>
      </w:r>
    </w:p>
    <w:p>
      <w:pPr>
        <w:spacing w:after="40"/>
      </w:pPr>
      <w:r>
        <w:rPr>
          <w:b/>
          <w:color w:val="6B7280"/>
          <w:sz w:val="18"/>
        </w:rPr>
        <w:t xml:space="preserve">Step 2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For each critical operation, set the impact tolerance - the maximum tolerable disruption to customers, the entity, or the financial system.</w:t>
      </w:r>
    </w:p>
    <w:p>
      <w:pPr>
        <w:spacing w:after="40"/>
      </w:pPr>
      <w:r>
        <w:rPr>
          <w:b/>
          <w:color w:val="6B7280"/>
          <w:sz w:val="18"/>
        </w:rPr>
        <w:t xml:space="preserve">Step 3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Map material service providers that support each critical operation, including fourth parties where dependencies are significant.</w:t>
      </w:r>
    </w:p>
    <w:p>
      <w:pPr>
        <w:spacing w:after="40"/>
      </w:pPr>
      <w:r>
        <w:rPr>
          <w:b/>
          <w:color w:val="6B7280"/>
          <w:sz w:val="18"/>
        </w:rPr>
        <w:t xml:space="preserve">Step 4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Assess service-provider risk against the impact tolerances and CPS 230 third-party obligations.</w:t>
      </w:r>
    </w:p>
    <w:p>
      <w:pPr>
        <w:spacing w:after="40"/>
      </w:pPr>
      <w:r>
        <w:rPr>
          <w:b/>
          <w:color w:val="6B7280"/>
          <w:sz w:val="18"/>
        </w:rPr>
        <w:t xml:space="preserve">Step 5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If a critical operation breaches its tolerance under the assessment, route to a remediation plan and re-assess. Otherwise, continue to testing.</w:t>
      </w:r>
    </w:p>
    <w:p>
      <w:pPr>
        <w:spacing w:after="40"/>
      </w:pPr>
      <w:r>
        <w:rPr>
          <w:b/>
          <w:color w:val="6B7280"/>
          <w:sz w:val="18"/>
        </w:rPr>
        <w:t xml:space="preserve">Step 6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Run scenario testing at the frequency CPS 230 requires for the operation, then formally report findings, tolerance breaches, and remediation status to the board.</w:t>
      </w:r>
    </w:p>
    <w:p>
      <w:pPr>
        <w:spacing w:after="80"/>
      </w:pPr>
      <w:r>
        <w:rPr>
          <w:color w:val="6B7280"/>
          <w:sz w:val="18"/>
        </w:rPr>
        <w:t xml:space="preserve">Source: https://ba-copilot.com/apra-cps-230</w:t>
      </w:r>
    </w:p>
    <w:sectPr>
      <w:pgSz w:w="11906" w:h="16838"/>
      <w:pgMar w:top="1440" w:right="1440" w:bottom="1440" w:left="1440" w:header="708" w:footer="708" w:gutter="0"/>
    </w:sectPr>
  </w:body>
</w:document>
</file>